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386" w:rsidRDefault="00C77ED4">
      <w:r>
        <w:t xml:space="preserve">An industrial visit to the CSIR-Central Salt and Marine Chemicals Research Institute (CSMCRI) offers a premier educational experience bridging theoretical science with real-world technological applications. Located in Bhavnagar, Gujarat, CSMCRI is a highly esteemed national laboratory dedicated to research and development in marine resources. During the visit, students are exposed to cutting-edge research facilities and pilot plants. The tour typically covers key scientific divisions, including salt and marine chemicals, reverse osmosis (RO) and membrane technology, biotechnology (including micro and </w:t>
      </w:r>
      <w:proofErr w:type="spellStart"/>
      <w:r>
        <w:t>macroalgae</w:t>
      </w:r>
      <w:proofErr w:type="spellEnd"/>
      <w:r>
        <w:t xml:space="preserve"> research), and renewable energy solutions. This visit is designed to provide science and engineering students with practical insights into large-scale chemical processing, environmental sustainability, and modern analytical techniques.</w:t>
      </w:r>
    </w:p>
    <w:sectPr w:rsidR="00BE4386" w:rsidSect="00BE43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77ED4"/>
    <w:rsid w:val="00BE4386"/>
    <w:rsid w:val="00C77E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43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2026-04-27T05:58:00Z</dcterms:created>
  <dcterms:modified xsi:type="dcterms:W3CDTF">2026-04-27T05:58:00Z</dcterms:modified>
</cp:coreProperties>
</file>